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CF2BA8">
      <w:pPr>
        <w:pStyle w:val="BasicParagraph"/>
        <w:spacing w:before="120" w:after="160" w:line="276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CF2BA8">
      <w:pPr>
        <w:pStyle w:val="BasicParagraph"/>
        <w:spacing w:line="276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CF2BA8">
      <w:pPr>
        <w:pStyle w:val="BasicParagraph"/>
        <w:spacing w:line="276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CF2BA8">
      <w:pPr>
        <w:spacing w:after="0"/>
        <w:rPr>
          <w:rFonts w:ascii="Times New Roman" w:hAnsi="Times New Roman"/>
          <w:sz w:val="24"/>
          <w:szCs w:val="24"/>
        </w:rPr>
      </w:pPr>
    </w:p>
    <w:p w:rsidR="00FE42A4" w:rsidRDefault="00FE42A4" w:rsidP="00CF2BA8"/>
    <w:p w:rsidR="008E2138" w:rsidRDefault="008E2138" w:rsidP="00CF2BA8"/>
    <w:p w:rsidR="008E2138" w:rsidRDefault="008E2138" w:rsidP="00CF2BA8"/>
    <w:p w:rsidR="008E2138" w:rsidRDefault="008E2138" w:rsidP="00CF2BA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C69D2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1024B6">
        <w:rPr>
          <w:rFonts w:ascii="Arial" w:hAnsi="Arial" w:cs="Arial"/>
          <w:sz w:val="24"/>
          <w:szCs w:val="24"/>
        </w:rPr>
        <w:t>246-</w:t>
      </w:r>
      <w:r w:rsidR="00354E47">
        <w:rPr>
          <w:rFonts w:ascii="Arial" w:hAnsi="Arial" w:cs="Arial"/>
          <w:sz w:val="24"/>
          <w:szCs w:val="24"/>
        </w:rPr>
        <w:t>4</w:t>
      </w:r>
      <w:r w:rsidR="001024B6">
        <w:rPr>
          <w:rFonts w:ascii="Arial" w:hAnsi="Arial" w:cs="Arial"/>
          <w:sz w:val="24"/>
          <w:szCs w:val="24"/>
        </w:rPr>
        <w:t>/2017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CF2BA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CF2BA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CF2BA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CF2BA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CF2BA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CF2BA8">
      <w:pPr>
        <w:spacing w:after="0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CF2BA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354E47" w:rsidP="00CF2BA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2017. április 27-ei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545A7C">
        <w:rPr>
          <w:rFonts w:ascii="Arial" w:hAnsi="Arial" w:cs="Arial"/>
          <w:b/>
          <w:sz w:val="24"/>
          <w:szCs w:val="24"/>
        </w:rPr>
        <w:t xml:space="preserve">rendes </w:t>
      </w:r>
      <w:r w:rsidR="008E2138">
        <w:rPr>
          <w:rFonts w:ascii="Arial" w:hAnsi="Arial" w:cs="Arial"/>
          <w:b/>
          <w:sz w:val="24"/>
          <w:szCs w:val="24"/>
        </w:rPr>
        <w:t xml:space="preserve">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CF2BA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CF2BA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CF2BA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44A6C" w:rsidRDefault="008E2138" w:rsidP="00CF2BA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44A6C" w:rsidRDefault="008E2138" w:rsidP="00CF2B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944A6C">
        <w:rPr>
          <w:rFonts w:ascii="Arial" w:hAnsi="Arial" w:cs="Arial"/>
          <w:b/>
          <w:sz w:val="24"/>
          <w:szCs w:val="24"/>
        </w:rPr>
        <w:t>Tárgy</w:t>
      </w:r>
      <w:r w:rsidR="00354E47" w:rsidRPr="00944A6C">
        <w:rPr>
          <w:rFonts w:ascii="Arial" w:hAnsi="Arial" w:cs="Arial"/>
          <w:b/>
          <w:sz w:val="24"/>
          <w:szCs w:val="24"/>
        </w:rPr>
        <w:t xml:space="preserve">: </w:t>
      </w:r>
      <w:r w:rsidR="00354E47" w:rsidRPr="00944A6C">
        <w:rPr>
          <w:rFonts w:ascii="Arial" w:hAnsi="Arial" w:cs="Arial"/>
          <w:sz w:val="24"/>
          <w:szCs w:val="24"/>
        </w:rPr>
        <w:t>K</w:t>
      </w:r>
      <w:r w:rsidR="00712647" w:rsidRPr="00944A6C">
        <w:rPr>
          <w:rFonts w:ascii="Arial" w:hAnsi="Arial" w:cs="Arial"/>
          <w:sz w:val="24"/>
          <w:szCs w:val="24"/>
        </w:rPr>
        <w:t xml:space="preserve">ezdeményezés Hévíz-Alsópáhok között </w:t>
      </w:r>
      <w:r w:rsidR="00712647" w:rsidRPr="00944A6C">
        <w:rPr>
          <w:rFonts w:ascii="Arial" w:hAnsi="Arial" w:cs="Arial"/>
          <w:lang w:eastAsia="hu-HU"/>
        </w:rPr>
        <w:t>területrész cseréjére</w:t>
      </w:r>
    </w:p>
    <w:p w:rsidR="008E2138" w:rsidRDefault="008E2138" w:rsidP="00CF2BA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CF2BA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CF2BA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CF2B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CF2BA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CF2BA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CF2BA8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CF2BA8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CF2BA8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CF2B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8E2138" w:rsidP="00CF2B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34508D" w:rsidRPr="002D4BC8" w:rsidRDefault="0034508D" w:rsidP="00CF2B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E2138" w:rsidRPr="00227CE7" w:rsidRDefault="008E2138" w:rsidP="00CF2B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CF2BA8">
      <w:pPr>
        <w:spacing w:after="0"/>
        <w:rPr>
          <w:rFonts w:ascii="Arial" w:hAnsi="Arial" w:cs="Arial"/>
          <w:sz w:val="24"/>
          <w:szCs w:val="24"/>
        </w:rPr>
      </w:pPr>
    </w:p>
    <w:p w:rsidR="008E2138" w:rsidRPr="002D4BC8" w:rsidRDefault="008E2138" w:rsidP="00CF2BA8">
      <w:pPr>
        <w:spacing w:after="0"/>
        <w:rPr>
          <w:rFonts w:ascii="Arial" w:hAnsi="Arial" w:cs="Arial"/>
          <w:sz w:val="24"/>
          <w:szCs w:val="24"/>
        </w:rPr>
      </w:pPr>
    </w:p>
    <w:p w:rsidR="008E2138" w:rsidRPr="002D4BC8" w:rsidRDefault="008E2138" w:rsidP="00CF2BA8">
      <w:pPr>
        <w:spacing w:after="0"/>
        <w:rPr>
          <w:rFonts w:ascii="Arial" w:hAnsi="Arial" w:cs="Arial"/>
          <w:sz w:val="24"/>
          <w:szCs w:val="24"/>
        </w:rPr>
      </w:pPr>
    </w:p>
    <w:p w:rsidR="008E2138" w:rsidRDefault="008E2138" w:rsidP="00CF2BA8">
      <w:pPr>
        <w:spacing w:after="0"/>
        <w:rPr>
          <w:rFonts w:ascii="Arial" w:hAnsi="Arial" w:cs="Arial"/>
          <w:sz w:val="24"/>
          <w:szCs w:val="24"/>
        </w:rPr>
      </w:pPr>
    </w:p>
    <w:p w:rsidR="008E2138" w:rsidRDefault="008E2138" w:rsidP="00CF2BA8">
      <w:pPr>
        <w:spacing w:after="0"/>
        <w:rPr>
          <w:rFonts w:ascii="Arial" w:hAnsi="Arial" w:cs="Arial"/>
          <w:sz w:val="24"/>
          <w:szCs w:val="24"/>
        </w:rPr>
      </w:pPr>
    </w:p>
    <w:p w:rsidR="008E2138" w:rsidRPr="002D4BC8" w:rsidRDefault="008E2138" w:rsidP="00CF2BA8">
      <w:pPr>
        <w:spacing w:after="0"/>
        <w:rPr>
          <w:rFonts w:ascii="Arial" w:hAnsi="Arial" w:cs="Arial"/>
          <w:sz w:val="24"/>
          <w:szCs w:val="24"/>
        </w:rPr>
      </w:pPr>
    </w:p>
    <w:p w:rsidR="008E2138" w:rsidRPr="002D4BC8" w:rsidRDefault="008E2138" w:rsidP="00CF2BA8">
      <w:pPr>
        <w:spacing w:after="0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CF2BA8">
      <w:pPr>
        <w:tabs>
          <w:tab w:val="center" w:pos="7797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CF2B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146B89" w:rsidRDefault="00146B89" w:rsidP="00CF2BA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CF2BA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CF2BA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Tárgy és tényállás ismertetése</w:t>
      </w:r>
    </w:p>
    <w:p w:rsidR="008E2138" w:rsidRPr="00956A7D" w:rsidRDefault="008E2138" w:rsidP="00CF2BA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9D2" w:rsidRDefault="00AC69D2" w:rsidP="00CF2BA8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 w:rsidRPr="00372D8A">
        <w:rPr>
          <w:sz w:val="22"/>
          <w:szCs w:val="22"/>
        </w:rPr>
        <w:t xml:space="preserve">Tiszteit </w:t>
      </w:r>
      <w:r>
        <w:rPr>
          <w:sz w:val="22"/>
          <w:szCs w:val="22"/>
        </w:rPr>
        <w:t>Képviselő-testület</w:t>
      </w:r>
      <w:r w:rsidRPr="00372D8A">
        <w:rPr>
          <w:sz w:val="22"/>
          <w:szCs w:val="22"/>
        </w:rPr>
        <w:t>!</w:t>
      </w:r>
    </w:p>
    <w:p w:rsidR="00AC69D2" w:rsidRDefault="00AC69D2" w:rsidP="00CF2BA8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354E47" w:rsidRDefault="00354E47" w:rsidP="00CF2BA8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Hévíz Város Önkormányzathoz 2017. február 21-én érkezett Tóth János budapesti lakos megkeresése az alábbi kérelemmel:</w:t>
      </w:r>
    </w:p>
    <w:p w:rsidR="00354E47" w:rsidRDefault="00354E47" w:rsidP="00CF2BA8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354E47" w:rsidRDefault="00354E47" w:rsidP="00CF2BA8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Leírta, hogy Alsópáhok (</w:t>
      </w:r>
      <w:proofErr w:type="spellStart"/>
      <w:r>
        <w:rPr>
          <w:sz w:val="22"/>
          <w:szCs w:val="22"/>
        </w:rPr>
        <w:t>Szivátszeg</w:t>
      </w:r>
      <w:proofErr w:type="spellEnd"/>
      <w:r>
        <w:rPr>
          <w:sz w:val="22"/>
          <w:szCs w:val="22"/>
        </w:rPr>
        <w:t xml:space="preserve">) településrészén rendelkeznek belterületekkel és mellette elhelyezkedő külterületekkel, melyen a HAK City turisztikai beruházást szeretnék megvalósítani. Az </w:t>
      </w:r>
      <w:proofErr w:type="spellStart"/>
      <w:r>
        <w:rPr>
          <w:sz w:val="22"/>
          <w:szCs w:val="22"/>
        </w:rPr>
        <w:t>alsópáhoki</w:t>
      </w:r>
      <w:proofErr w:type="spellEnd"/>
      <w:r>
        <w:rPr>
          <w:sz w:val="22"/>
          <w:szCs w:val="22"/>
        </w:rPr>
        <w:t xml:space="preserve"> bel- és külterület közé beékelődött egy földnyelv a Hévíz 1504/2. </w:t>
      </w:r>
      <w:proofErr w:type="spellStart"/>
      <w:r>
        <w:rPr>
          <w:sz w:val="22"/>
          <w:szCs w:val="22"/>
        </w:rPr>
        <w:t>hrsz-ú</w:t>
      </w:r>
      <w:proofErr w:type="spellEnd"/>
      <w:r>
        <w:rPr>
          <w:sz w:val="22"/>
          <w:szCs w:val="22"/>
        </w:rPr>
        <w:t xml:space="preserve"> területből, amely a </w:t>
      </w:r>
      <w:proofErr w:type="spellStart"/>
      <w:r>
        <w:rPr>
          <w:sz w:val="22"/>
          <w:szCs w:val="22"/>
        </w:rPr>
        <w:t>Lotus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Therme</w:t>
      </w:r>
      <w:proofErr w:type="spellEnd"/>
      <w:r>
        <w:rPr>
          <w:sz w:val="22"/>
          <w:szCs w:val="22"/>
        </w:rPr>
        <w:t xml:space="preserve"> Hotel &amp; </w:t>
      </w:r>
      <w:proofErr w:type="spellStart"/>
      <w:r>
        <w:rPr>
          <w:sz w:val="22"/>
          <w:szCs w:val="22"/>
        </w:rPr>
        <w:t>Spa</w:t>
      </w:r>
      <w:proofErr w:type="spellEnd"/>
      <w:r>
        <w:rPr>
          <w:sz w:val="22"/>
          <w:szCs w:val="22"/>
        </w:rPr>
        <w:t xml:space="preserve"> területéhez tartozik, nagysága 8257 m². Azért, hogy a területek között ne legyen egy idegen, másik településből átnyúló terület, tárgyalásokat folytattak a </w:t>
      </w:r>
      <w:proofErr w:type="spellStart"/>
      <w:r>
        <w:rPr>
          <w:sz w:val="22"/>
          <w:szCs w:val="22"/>
        </w:rPr>
        <w:t>Lotus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Therme</w:t>
      </w:r>
      <w:proofErr w:type="spellEnd"/>
      <w:r>
        <w:rPr>
          <w:sz w:val="22"/>
          <w:szCs w:val="22"/>
        </w:rPr>
        <w:t xml:space="preserve"> tulajdonosával egy területcsere kapcsán, mely tárgyalások lezárultak. Ennek megfelelően lehetőségük lenne a Hévíz 1504/2. </w:t>
      </w:r>
      <w:proofErr w:type="spellStart"/>
      <w:r>
        <w:rPr>
          <w:sz w:val="22"/>
          <w:szCs w:val="22"/>
        </w:rPr>
        <w:t>hrsz-ú</w:t>
      </w:r>
      <w:proofErr w:type="spellEnd"/>
      <w:r>
        <w:rPr>
          <w:sz w:val="22"/>
          <w:szCs w:val="22"/>
        </w:rPr>
        <w:t xml:space="preserve"> területből a 8257 m² nagyságú beékelődött területet elcserélni az Alsópáhok 040/5. </w:t>
      </w:r>
      <w:proofErr w:type="spellStart"/>
      <w:r>
        <w:rPr>
          <w:sz w:val="22"/>
          <w:szCs w:val="22"/>
        </w:rPr>
        <w:t>hrsz-ú</w:t>
      </w:r>
      <w:proofErr w:type="spellEnd"/>
      <w:r>
        <w:rPr>
          <w:sz w:val="22"/>
          <w:szCs w:val="22"/>
        </w:rPr>
        <w:t xml:space="preserve"> terület északi részéből leválasztott, ugyanekkora nagyságú területtel (tervezetet lásd. 1. számú melléklet).</w:t>
      </w:r>
    </w:p>
    <w:p w:rsidR="000E57A4" w:rsidRDefault="000E57A4" w:rsidP="00CF2BA8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0E57A4" w:rsidRDefault="000E57A4" w:rsidP="00CF2BA8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érintett ingatlanokat elválasztja egymástól az Alsópáhok (külterület) 039/2. </w:t>
      </w:r>
      <w:proofErr w:type="spellStart"/>
      <w:r>
        <w:rPr>
          <w:sz w:val="22"/>
          <w:szCs w:val="22"/>
        </w:rPr>
        <w:t>hrsz-ú</w:t>
      </w:r>
      <w:proofErr w:type="spellEnd"/>
      <w:r>
        <w:rPr>
          <w:sz w:val="22"/>
          <w:szCs w:val="22"/>
        </w:rPr>
        <w:t xml:space="preserve"> „árok” megjelölésű, 1 ha 3368 m² nagyságú ingatlan, amely a</w:t>
      </w:r>
      <w:r w:rsidR="001C06C6">
        <w:rPr>
          <w:sz w:val="22"/>
          <w:szCs w:val="22"/>
        </w:rPr>
        <w:t xml:space="preserve"> Magyar Állam tulajdonát képezi (2. számú melléklet).</w:t>
      </w:r>
    </w:p>
    <w:p w:rsidR="000E57A4" w:rsidRDefault="000E57A4" w:rsidP="00CF2BA8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0E57A4" w:rsidRDefault="000E57A4" w:rsidP="00CF2BA8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Fentieknek megfelelően tehát a telekalakításra a következő feltételek megvalósítása esetén van lehetőség:</w:t>
      </w:r>
    </w:p>
    <w:p w:rsidR="0025067B" w:rsidRDefault="0025067B" w:rsidP="00CF2BA8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0E57A4" w:rsidRDefault="000E57A4" w:rsidP="00CF2BA8">
      <w:pPr>
        <w:pStyle w:val="Szvegtrzs3"/>
        <w:numPr>
          <w:ilvl w:val="0"/>
          <w:numId w:val="21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Alsópáhok 039/2. </w:t>
      </w:r>
      <w:proofErr w:type="spellStart"/>
      <w:r>
        <w:rPr>
          <w:sz w:val="22"/>
          <w:szCs w:val="22"/>
        </w:rPr>
        <w:t>hrsz-ú</w:t>
      </w:r>
      <w:proofErr w:type="spellEnd"/>
      <w:r>
        <w:rPr>
          <w:sz w:val="22"/>
          <w:szCs w:val="22"/>
        </w:rPr>
        <w:t xml:space="preserve"> ingatlan vonatkozásában megegyezést kell kötni a Magyar Állam képviseletében eljáró Nyugat-Dunántúli Vízügyi Igazgatósággal, aki az ingatlan vagyonkezelője</w:t>
      </w:r>
      <w:r w:rsidR="0025067B">
        <w:rPr>
          <w:sz w:val="22"/>
          <w:szCs w:val="22"/>
        </w:rPr>
        <w:t xml:space="preserve"> (terület átminősítése, megvásárlása, vagy az árok áthelyezése)</w:t>
      </w:r>
      <w:r>
        <w:rPr>
          <w:sz w:val="22"/>
          <w:szCs w:val="22"/>
        </w:rPr>
        <w:t xml:space="preserve">. </w:t>
      </w:r>
    </w:p>
    <w:p w:rsidR="0025067B" w:rsidRDefault="0025067B" w:rsidP="00CF2BA8">
      <w:pPr>
        <w:pStyle w:val="Szvegtrzs3"/>
        <w:numPr>
          <w:ilvl w:val="0"/>
          <w:numId w:val="21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Tekintettel arra, hogy a hévízi terület belterületi övezetben van, míg az </w:t>
      </w:r>
      <w:proofErr w:type="spellStart"/>
      <w:r>
        <w:rPr>
          <w:sz w:val="22"/>
          <w:szCs w:val="22"/>
        </w:rPr>
        <w:t>alsópáhoki</w:t>
      </w:r>
      <w:proofErr w:type="spellEnd"/>
      <w:r>
        <w:rPr>
          <w:sz w:val="22"/>
          <w:szCs w:val="22"/>
        </w:rPr>
        <w:t xml:space="preserve"> ingatlan külterületi övezetben, módosítani kell a fekvéshatárt.</w:t>
      </w:r>
    </w:p>
    <w:p w:rsidR="0025067B" w:rsidRDefault="0025067B" w:rsidP="00CF2BA8">
      <w:pPr>
        <w:pStyle w:val="Szvegtrzs3"/>
        <w:numPr>
          <w:ilvl w:val="0"/>
          <w:numId w:val="21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Hévíz város és Alsópáhok község szabályozási tervének módosítása.</w:t>
      </w:r>
      <w:r w:rsidR="001C06C6">
        <w:rPr>
          <w:sz w:val="22"/>
          <w:szCs w:val="22"/>
        </w:rPr>
        <w:t xml:space="preserve"> A szabályozási terveknek tartalmaznia kell a változási szándékot.</w:t>
      </w:r>
    </w:p>
    <w:p w:rsidR="0025067B" w:rsidRDefault="0025067B" w:rsidP="00CF2BA8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25067B" w:rsidRDefault="0025067B" w:rsidP="00CF2BA8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Alsópáhok Község Képviselő-testülete az ügyet a 2017. február 13-án megtartott ülésén tárgyalta. 16/2017. (II. 13.) számú határozatában a következőket mondta ki:</w:t>
      </w:r>
    </w:p>
    <w:p w:rsidR="0025067B" w:rsidRDefault="0025067B" w:rsidP="00CF2BA8">
      <w:pPr>
        <w:pStyle w:val="Szvegtrzs3"/>
        <w:shd w:val="clear" w:color="auto" w:fill="auto"/>
        <w:spacing w:line="276" w:lineRule="auto"/>
        <w:ind w:left="380" w:firstLine="0"/>
        <w:jc w:val="both"/>
        <w:rPr>
          <w:sz w:val="22"/>
          <w:szCs w:val="22"/>
        </w:rPr>
      </w:pPr>
      <w:r>
        <w:rPr>
          <w:sz w:val="22"/>
          <w:szCs w:val="22"/>
        </w:rPr>
        <w:t>Alsópáhok Község Önkormányzata előzetesen, elviekben Alsópáhok és Hévíz közötti közigazgatási határ módosításával kapcsolatos álláspontja a következő:</w:t>
      </w:r>
    </w:p>
    <w:p w:rsidR="0025067B" w:rsidRDefault="0025067B" w:rsidP="00CF2BA8">
      <w:pPr>
        <w:pStyle w:val="Szvegtrzs3"/>
        <w:numPr>
          <w:ilvl w:val="0"/>
          <w:numId w:val="23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hévízi 1504/2. </w:t>
      </w:r>
      <w:proofErr w:type="spellStart"/>
      <w:r>
        <w:rPr>
          <w:sz w:val="22"/>
          <w:szCs w:val="22"/>
        </w:rPr>
        <w:t>hrsz-ú</w:t>
      </w:r>
      <w:proofErr w:type="spellEnd"/>
      <w:r>
        <w:rPr>
          <w:sz w:val="22"/>
          <w:szCs w:val="22"/>
        </w:rPr>
        <w:t xml:space="preserve"> 8257 m² területű ingatlan Hévíz közigazgatási területéből Alsópáhok közigazgatási területéhez csatolható.</w:t>
      </w:r>
    </w:p>
    <w:p w:rsidR="0025067B" w:rsidRDefault="0025067B" w:rsidP="00CF2BA8">
      <w:pPr>
        <w:pStyle w:val="Szvegtrzs3"/>
        <w:numPr>
          <w:ilvl w:val="0"/>
          <w:numId w:val="23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</w:t>
      </w:r>
      <w:proofErr w:type="spellStart"/>
      <w:r>
        <w:rPr>
          <w:sz w:val="22"/>
          <w:szCs w:val="22"/>
        </w:rPr>
        <w:t>alsópáhoki</w:t>
      </w:r>
      <w:proofErr w:type="spellEnd"/>
      <w:r>
        <w:rPr>
          <w:sz w:val="22"/>
          <w:szCs w:val="22"/>
        </w:rPr>
        <w:t xml:space="preserve"> 04/5. </w:t>
      </w:r>
      <w:proofErr w:type="spellStart"/>
      <w:r>
        <w:rPr>
          <w:sz w:val="22"/>
          <w:szCs w:val="22"/>
        </w:rPr>
        <w:t>hrsz-ú</w:t>
      </w:r>
      <w:proofErr w:type="spellEnd"/>
      <w:r>
        <w:rPr>
          <w:sz w:val="22"/>
          <w:szCs w:val="22"/>
        </w:rPr>
        <w:t xml:space="preserve"> és az </w:t>
      </w:r>
      <w:proofErr w:type="spellStart"/>
      <w:r>
        <w:rPr>
          <w:sz w:val="22"/>
          <w:szCs w:val="22"/>
        </w:rPr>
        <w:t>alsópáhoki</w:t>
      </w:r>
      <w:proofErr w:type="spellEnd"/>
      <w:r>
        <w:rPr>
          <w:sz w:val="22"/>
          <w:szCs w:val="22"/>
        </w:rPr>
        <w:t xml:space="preserve"> 039/2. </w:t>
      </w:r>
      <w:proofErr w:type="spellStart"/>
      <w:r>
        <w:rPr>
          <w:sz w:val="22"/>
          <w:szCs w:val="22"/>
        </w:rPr>
        <w:t>hrsz-ú</w:t>
      </w:r>
      <w:proofErr w:type="spellEnd"/>
      <w:r>
        <w:rPr>
          <w:sz w:val="22"/>
          <w:szCs w:val="22"/>
        </w:rPr>
        <w:t xml:space="preserve"> ingatlanok területéből együttesen 8257 m² terület Alsópáhok közigazgatási területéből Hévíz közigazgatási területéhez csatolható.</w:t>
      </w:r>
    </w:p>
    <w:p w:rsidR="0025067B" w:rsidRDefault="0025067B" w:rsidP="00CF2BA8">
      <w:pPr>
        <w:pStyle w:val="Szvegtrzs3"/>
        <w:numPr>
          <w:ilvl w:val="0"/>
          <w:numId w:val="23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Az 1. és a 2. pontban meghatározottak egyidejűleg, egymásra tekintettel hajthatók végre.</w:t>
      </w:r>
    </w:p>
    <w:p w:rsidR="0025067B" w:rsidRDefault="0025067B" w:rsidP="00CF2BA8">
      <w:pPr>
        <w:pStyle w:val="Szvegtrzs3"/>
        <w:numPr>
          <w:ilvl w:val="0"/>
          <w:numId w:val="23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 2. pontban meghatározott ingatlanok esetén Alsópáhok Község Önkormányzata és Hévíz Nagyközség Önkormányzata között Hévízen 1991. október 29. napján kelt szerződés 3./ pontját alkalmazni kell, vagy ezzel azonos tartalmú új szerződést kell kötni.</w:t>
      </w:r>
    </w:p>
    <w:p w:rsidR="001C06C6" w:rsidRDefault="0025067B" w:rsidP="00CF2BA8">
      <w:pPr>
        <w:pStyle w:val="Szvegtrzs3"/>
        <w:numPr>
          <w:ilvl w:val="0"/>
          <w:numId w:val="23"/>
        </w:numPr>
        <w:shd w:val="clear" w:color="auto" w:fill="auto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Ez a határozat kifejezetten előzetes és elvi jellegű, a tervezett közigazgatási határ módosításának bármely okból történ</w:t>
      </w:r>
      <w:r w:rsidR="001C06C6">
        <w:rPr>
          <w:sz w:val="22"/>
          <w:szCs w:val="22"/>
        </w:rPr>
        <w:t>ő meghiúsulása esetén Alsópáhok Község Önkormányzatával szemben anyagi igény, követelés nem érvényesíthető.</w:t>
      </w:r>
    </w:p>
    <w:p w:rsidR="001C06C6" w:rsidRDefault="00CF2BA8" w:rsidP="00CF2BA8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eljárást szabályozza a Magyarország helyi önkormányzatairól szóló 2011. évi CLXXXIX. </w:t>
      </w:r>
      <w:r>
        <w:rPr>
          <w:sz w:val="22"/>
          <w:szCs w:val="22"/>
        </w:rPr>
        <w:lastRenderedPageBreak/>
        <w:t>törvény, továbbá részletesen a területszervezési eljárásról szóló 321/2012. (XI. 16.) számú kormányrendelet is.</w:t>
      </w:r>
    </w:p>
    <w:p w:rsidR="00B33A51" w:rsidRDefault="00B33A51" w:rsidP="00CF2BA8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B33A51" w:rsidRDefault="00B33A51" w:rsidP="00CF2BA8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proofErr w:type="spellStart"/>
      <w:r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>. szabályozása:</w:t>
      </w:r>
    </w:p>
    <w:p w:rsidR="00B33A51" w:rsidRDefault="00B33A51" w:rsidP="00CF2BA8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B33A51" w:rsidRPr="00B33A51" w:rsidRDefault="00B33A51" w:rsidP="00B33A51">
      <w:pPr>
        <w:widowControl w:val="0"/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lang w:eastAsia="hu-HU"/>
        </w:rPr>
      </w:pPr>
      <w:r w:rsidRPr="00B33A51">
        <w:rPr>
          <w:rFonts w:ascii="Arial" w:hAnsi="Arial" w:cs="Arial"/>
          <w:b/>
          <w:bCs/>
          <w:lang w:eastAsia="hu-HU"/>
        </w:rPr>
        <w:t xml:space="preserve">101. § </w:t>
      </w:r>
      <w:r w:rsidRPr="00B33A51">
        <w:rPr>
          <w:rFonts w:ascii="Arial" w:hAnsi="Arial" w:cs="Arial"/>
          <w:lang w:eastAsia="hu-HU"/>
        </w:rPr>
        <w:t>Az érintett képviselő-testületek megállapodhatnak egymással határos területrész átadásáról, átvételéről vagy cseréjéről (a továbbiakban együtt: területrész átadása).</w:t>
      </w:r>
    </w:p>
    <w:p w:rsidR="00B33A51" w:rsidRPr="00B33A51" w:rsidRDefault="00B33A51" w:rsidP="00B33A51">
      <w:pPr>
        <w:widowControl w:val="0"/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lang w:eastAsia="hu-HU"/>
        </w:rPr>
      </w:pPr>
      <w:r w:rsidRPr="00B33A51">
        <w:rPr>
          <w:rFonts w:ascii="Arial" w:hAnsi="Arial" w:cs="Arial"/>
          <w:b/>
          <w:bCs/>
          <w:lang w:eastAsia="hu-HU"/>
        </w:rPr>
        <w:t xml:space="preserve">102. § </w:t>
      </w:r>
      <w:r w:rsidRPr="00B33A51">
        <w:rPr>
          <w:rFonts w:ascii="Arial" w:hAnsi="Arial" w:cs="Arial"/>
          <w:lang w:eastAsia="hu-HU"/>
        </w:rPr>
        <w:t>(1) Az érintett képviselő-testületek a területrész átadását előkészítő bizottság javaslata alapján előzetes megállapodást köthetnek az átadandó területrész területéről és határairól, a vagyon megosztásáról.</w:t>
      </w:r>
    </w:p>
    <w:p w:rsidR="00B33A51" w:rsidRPr="00B33A51" w:rsidRDefault="00B33A51" w:rsidP="00B33A51">
      <w:pPr>
        <w:widowControl w:val="0"/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lang w:eastAsia="hu-HU"/>
        </w:rPr>
      </w:pPr>
      <w:r w:rsidRPr="00B33A51">
        <w:rPr>
          <w:rFonts w:ascii="Arial" w:hAnsi="Arial" w:cs="Arial"/>
          <w:lang w:eastAsia="hu-HU"/>
        </w:rPr>
        <w:t>(2) A lakott területrész átadásának kezdeményezése esetén az érintett képviselő-testületek együttes ülésen legalább háromtagú, területrész átadását előkészítő bizottságot választanak települési képviselőkből, valamint más választópolgárokból. Az előkészítő bizottság tagjainak több mint felét a lakott területrészen lakó települési képviselők vagy választópolgárok közül kell megválasztani. A bizottság elnökének és tagjainak megválasztásához a képviselő-testületi tagok több mint felének igen szavazata szükséges.</w:t>
      </w:r>
    </w:p>
    <w:p w:rsidR="00B33A51" w:rsidRPr="00B33A51" w:rsidRDefault="00B33A51" w:rsidP="00B33A51">
      <w:pPr>
        <w:widowControl w:val="0"/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lang w:eastAsia="hu-HU"/>
        </w:rPr>
      </w:pPr>
      <w:r w:rsidRPr="00B33A51">
        <w:rPr>
          <w:rFonts w:ascii="Arial" w:hAnsi="Arial" w:cs="Arial"/>
          <w:lang w:eastAsia="hu-HU"/>
        </w:rPr>
        <w:t>(3) Lakott területrész átadása esetén az ott lakó választópolgárok - helyi népszavazással kinyilvánított - többségi támogatása szükséges a megállapodáshoz.</w:t>
      </w:r>
    </w:p>
    <w:p w:rsidR="00B33A51" w:rsidRPr="00B33A51" w:rsidRDefault="00B33A51" w:rsidP="00B33A51">
      <w:pPr>
        <w:widowControl w:val="0"/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lang w:eastAsia="hu-HU"/>
        </w:rPr>
      </w:pPr>
      <w:r w:rsidRPr="00B33A51">
        <w:rPr>
          <w:rFonts w:ascii="Arial" w:hAnsi="Arial" w:cs="Arial"/>
          <w:lang w:eastAsia="hu-HU"/>
        </w:rPr>
        <w:t>(4) A képviselő-testületek - az előzetes megállapodásnak megfelelően - a lakott területrész átadásáról, annak részletes feltételeiről a helyi népszavazást követő kilencven napon belül állapodnak meg. Megállapodás hiányában az érintett képviselő-testület keresete alapján a közigazgatási és munkaügyi bíróság - soron kívül - dönt. Döntése a megállapodást pótolja.</w:t>
      </w:r>
    </w:p>
    <w:p w:rsidR="00B33A51" w:rsidRPr="00B33A51" w:rsidRDefault="00B33A51" w:rsidP="00B33A51">
      <w:pPr>
        <w:widowControl w:val="0"/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lang w:eastAsia="hu-HU"/>
        </w:rPr>
      </w:pPr>
      <w:r w:rsidRPr="00B33A51">
        <w:rPr>
          <w:rFonts w:ascii="Arial" w:hAnsi="Arial" w:cs="Arial"/>
          <w:lang w:eastAsia="hu-HU"/>
        </w:rPr>
        <w:t>(5) Lakott területrész átadása nem tagadható meg, ha a képviselő-testületek előzetes megállapodást kötöttek és az átadással a területrész választópolgárainak többsége helyi népszavazás során egyetértett.</w:t>
      </w:r>
    </w:p>
    <w:p w:rsidR="00B33A51" w:rsidRPr="00B33A51" w:rsidRDefault="00B33A51" w:rsidP="00B33A51">
      <w:pPr>
        <w:widowControl w:val="0"/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lang w:eastAsia="hu-HU"/>
        </w:rPr>
      </w:pPr>
      <w:r w:rsidRPr="00B33A51">
        <w:rPr>
          <w:rFonts w:ascii="Arial" w:hAnsi="Arial" w:cs="Arial"/>
          <w:lang w:eastAsia="hu-HU"/>
        </w:rPr>
        <w:t>(6) Külterületi lakott területrész átadására a lakott területrészre vonatkozó szabályokat kell megfelelően alkalmazni.</w:t>
      </w:r>
    </w:p>
    <w:p w:rsidR="00CF2BA8" w:rsidRDefault="00CF2BA8" w:rsidP="00CF2BA8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CF2BA8" w:rsidRDefault="00CF2BA8" w:rsidP="00CF2BA8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A kormányrendelet az alábbi módon szabályozza az eljárást:</w:t>
      </w:r>
    </w:p>
    <w:p w:rsidR="00CF2BA8" w:rsidRDefault="00CF2BA8" w:rsidP="00CF2BA8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CF2BA8" w:rsidRPr="00CF2BA8" w:rsidRDefault="00CF2BA8" w:rsidP="00CF2BA8">
      <w:pPr>
        <w:widowControl w:val="0"/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lang w:eastAsia="hu-HU"/>
        </w:rPr>
      </w:pPr>
      <w:r w:rsidRPr="00CF2BA8">
        <w:rPr>
          <w:rFonts w:ascii="Arial" w:hAnsi="Arial" w:cs="Arial"/>
          <w:b/>
          <w:bCs/>
          <w:lang w:eastAsia="hu-HU"/>
        </w:rPr>
        <w:t xml:space="preserve">11. § </w:t>
      </w:r>
      <w:r w:rsidRPr="00CF2BA8">
        <w:rPr>
          <w:rFonts w:ascii="Arial" w:hAnsi="Arial" w:cs="Arial"/>
          <w:lang w:eastAsia="hu-HU"/>
        </w:rPr>
        <w:t>(1) Területrész átadását előkészítő bizottság javaslatot készít az átadásra kerülő területrész területére, az új közigazgatási határvonalra, a vagyon megosztására, a költségek viselésére. A javaslat a területrész szempontjából bemutatja a lakott területrész átadásának részletes körülményeit, különösen: előnyeit, esetleges hátrányait, feltételeit, költségeit, közigazgatási, intézményi és egyéb lakossági szolgáltatások igénybevételének lehetőségeit, az infrastrukturális fejlettség szintjét és a közműellátottságot, valamint az önkormányzati tulajdonú ingatlanra vonatkozó jogokat és terheket.</w:t>
      </w:r>
    </w:p>
    <w:p w:rsidR="00CF2BA8" w:rsidRPr="00CF2BA8" w:rsidRDefault="00CF2BA8" w:rsidP="00CF2BA8">
      <w:pPr>
        <w:widowControl w:val="0"/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lang w:eastAsia="hu-HU"/>
        </w:rPr>
      </w:pPr>
      <w:r w:rsidRPr="00CF2BA8">
        <w:rPr>
          <w:rFonts w:ascii="Arial" w:hAnsi="Arial" w:cs="Arial"/>
          <w:lang w:eastAsia="hu-HU"/>
        </w:rPr>
        <w:t>(2) Lakott területrész átadása esetén a képviselő-testületek előzetes megállapodásáról, az előkészítő bizottság javaslatáról és a lakott területrész átadásának részletes feltételeiről a lakosságot a helyi népszavazás előtt tájékoztatni kell.</w:t>
      </w:r>
    </w:p>
    <w:p w:rsidR="00CF2BA8" w:rsidRPr="00CF2BA8" w:rsidRDefault="00CF2BA8" w:rsidP="00CF2BA8">
      <w:pPr>
        <w:widowControl w:val="0"/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lang w:eastAsia="hu-HU"/>
        </w:rPr>
      </w:pPr>
      <w:r w:rsidRPr="00CF2BA8">
        <w:rPr>
          <w:rFonts w:ascii="Arial" w:hAnsi="Arial" w:cs="Arial"/>
          <w:lang w:eastAsia="hu-HU"/>
        </w:rPr>
        <w:t>(3) A lakott területrészt átadó önkormányzat képviselő-testülete a helyi népszavazást a képviselő-testületek előzetes megállapodásának megkötését követő hatvan napon belül köteles elrendelni.</w:t>
      </w:r>
    </w:p>
    <w:p w:rsidR="00CF2BA8" w:rsidRPr="00CF2BA8" w:rsidRDefault="00CF2BA8" w:rsidP="00CF2BA8">
      <w:pPr>
        <w:widowControl w:val="0"/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lang w:eastAsia="hu-HU"/>
        </w:rPr>
      </w:pPr>
      <w:r w:rsidRPr="00CF2BA8">
        <w:rPr>
          <w:rFonts w:ascii="Arial" w:hAnsi="Arial" w:cs="Arial"/>
          <w:lang w:eastAsia="hu-HU"/>
        </w:rPr>
        <w:t>(4) Lakott területrész átadása az önkormányzati általános választás napjával történhet.</w:t>
      </w:r>
    </w:p>
    <w:p w:rsidR="00CF2BA8" w:rsidRPr="00CF2BA8" w:rsidRDefault="00CF2BA8" w:rsidP="00CF2BA8">
      <w:pPr>
        <w:widowControl w:val="0"/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lang w:eastAsia="hu-HU"/>
        </w:rPr>
      </w:pPr>
      <w:r w:rsidRPr="00CF2BA8">
        <w:rPr>
          <w:rFonts w:ascii="Arial" w:hAnsi="Arial" w:cs="Arial"/>
          <w:lang w:eastAsia="hu-HU"/>
        </w:rPr>
        <w:t>(5) A területrészt átvevő település önkormányzatának polgármestere az aláírást, illetve döntés kézhezvételét követő öt napon belül küldi meg</w:t>
      </w:r>
    </w:p>
    <w:p w:rsidR="00CF2BA8" w:rsidRPr="00CF2BA8" w:rsidRDefault="00CF2BA8" w:rsidP="00CF2BA8">
      <w:pPr>
        <w:widowControl w:val="0"/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lang w:eastAsia="hu-HU"/>
        </w:rPr>
      </w:pPr>
      <w:r w:rsidRPr="00CF2BA8">
        <w:rPr>
          <w:rFonts w:ascii="Arial" w:hAnsi="Arial" w:cs="Arial"/>
          <w:i/>
          <w:iCs/>
          <w:lang w:eastAsia="hu-HU"/>
        </w:rPr>
        <w:t xml:space="preserve">a) </w:t>
      </w:r>
      <w:r w:rsidRPr="00CF2BA8">
        <w:rPr>
          <w:rFonts w:ascii="Arial" w:hAnsi="Arial" w:cs="Arial"/>
          <w:lang w:eastAsia="hu-HU"/>
        </w:rPr>
        <w:t xml:space="preserve">az átadás részletes feltételeit tartalmazó megállapodást, vagy az </w:t>
      </w:r>
      <w:proofErr w:type="spellStart"/>
      <w:r w:rsidRPr="00CF2BA8">
        <w:rPr>
          <w:rFonts w:ascii="Arial" w:hAnsi="Arial" w:cs="Arial"/>
          <w:lang w:eastAsia="hu-HU"/>
        </w:rPr>
        <w:t>Mötv</w:t>
      </w:r>
      <w:proofErr w:type="spellEnd"/>
      <w:r w:rsidRPr="00CF2BA8">
        <w:rPr>
          <w:rFonts w:ascii="Arial" w:hAnsi="Arial" w:cs="Arial"/>
          <w:lang w:eastAsia="hu-HU"/>
        </w:rPr>
        <w:t>. 102. § (4) bekezdése szerinti jogerős bírói döntést a járási hivatali bejegyzés és</w:t>
      </w:r>
    </w:p>
    <w:p w:rsidR="00CF2BA8" w:rsidRPr="00CF2BA8" w:rsidRDefault="00CF2BA8" w:rsidP="00CF2BA8">
      <w:pPr>
        <w:widowControl w:val="0"/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lang w:eastAsia="hu-HU"/>
        </w:rPr>
      </w:pPr>
      <w:r w:rsidRPr="00CF2BA8">
        <w:rPr>
          <w:rFonts w:ascii="Arial" w:hAnsi="Arial" w:cs="Arial"/>
          <w:i/>
          <w:iCs/>
          <w:lang w:eastAsia="hu-HU"/>
        </w:rPr>
        <w:t xml:space="preserve">b) </w:t>
      </w:r>
      <w:r w:rsidRPr="00CF2BA8">
        <w:rPr>
          <w:rFonts w:ascii="Arial" w:hAnsi="Arial" w:cs="Arial"/>
          <w:lang w:eastAsia="hu-HU"/>
        </w:rPr>
        <w:t xml:space="preserve">az </w:t>
      </w:r>
      <w:r w:rsidRPr="00CF2BA8">
        <w:rPr>
          <w:rFonts w:ascii="Arial" w:hAnsi="Arial" w:cs="Arial"/>
          <w:i/>
          <w:iCs/>
          <w:lang w:eastAsia="hu-HU"/>
        </w:rPr>
        <w:t xml:space="preserve">a) </w:t>
      </w:r>
      <w:r w:rsidRPr="00CF2BA8">
        <w:rPr>
          <w:rFonts w:ascii="Arial" w:hAnsi="Arial" w:cs="Arial"/>
          <w:lang w:eastAsia="hu-HU"/>
        </w:rPr>
        <w:t>pontban meghatározott iratokat és a területrész átadásának ingatlan-nyilvántartási jogerős bejegyzését a miniszternek, kormányhivatalnak és a KSH-nak tájékoztatás</w:t>
      </w:r>
    </w:p>
    <w:p w:rsidR="00CF2BA8" w:rsidRPr="00CF2BA8" w:rsidRDefault="00CF2BA8" w:rsidP="00CF2BA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CF2BA8">
        <w:rPr>
          <w:rFonts w:ascii="Arial" w:hAnsi="Arial" w:cs="Arial"/>
          <w:lang w:eastAsia="hu-HU"/>
        </w:rPr>
        <w:t>céljából.</w:t>
      </w:r>
    </w:p>
    <w:p w:rsidR="001C06C6" w:rsidRDefault="001C06C6" w:rsidP="00CF2BA8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</w:p>
    <w:p w:rsidR="00F3500C" w:rsidRPr="00944A6C" w:rsidRDefault="00F3500C" w:rsidP="00CF2BA8">
      <w:pPr>
        <w:pStyle w:val="Szvegtrzs3"/>
        <w:shd w:val="clear" w:color="auto" w:fill="auto"/>
        <w:spacing w:line="276" w:lineRule="auto"/>
        <w:ind w:firstLine="0"/>
        <w:jc w:val="both"/>
        <w:rPr>
          <w:sz w:val="22"/>
          <w:szCs w:val="22"/>
        </w:rPr>
      </w:pPr>
      <w:r w:rsidRPr="00944A6C">
        <w:rPr>
          <w:sz w:val="22"/>
          <w:szCs w:val="22"/>
        </w:rPr>
        <w:lastRenderedPageBreak/>
        <w:t xml:space="preserve">Javaslom a képviselő-testület – mivel Hévíz város érdekét nem sérti – elviekben nyilvánítsa ki, hogy a területrész átadásának akadályt nem látja. A fenti jogszabályi hivatkozások alapján az eljárás további mentét az érintett feleknek pontosítani kell, ide értve a felmerülő költségek viselését, a tervezett átadás eljárási határideit a felek által elvégzendő feladatokat. A Képviselő-testület álláspontja szerint az úgynevezett </w:t>
      </w:r>
      <w:proofErr w:type="spellStart"/>
      <w:r w:rsidRPr="00944A6C">
        <w:rPr>
          <w:sz w:val="22"/>
          <w:szCs w:val="22"/>
        </w:rPr>
        <w:t>Rogner</w:t>
      </w:r>
      <w:proofErr w:type="spellEnd"/>
      <w:r w:rsidRPr="00944A6C">
        <w:rPr>
          <w:sz w:val="22"/>
          <w:szCs w:val="22"/>
        </w:rPr>
        <w:t xml:space="preserve"> szerződés megszűnt</w:t>
      </w:r>
      <w:r w:rsidR="00F45F9D" w:rsidRPr="00944A6C">
        <w:rPr>
          <w:sz w:val="22"/>
          <w:szCs w:val="22"/>
        </w:rPr>
        <w:t>, ezért javaslom a határozatban kinyilvánítani, hogy nem kívánunk új szerződést kötni.</w:t>
      </w:r>
    </w:p>
    <w:p w:rsidR="001C06C6" w:rsidRDefault="001C06C6" w:rsidP="00CF2BA8">
      <w:pPr>
        <w:pStyle w:val="Szvegtrzs3"/>
        <w:shd w:val="clear" w:color="auto" w:fill="auto"/>
        <w:spacing w:line="276" w:lineRule="auto"/>
        <w:ind w:firstLine="0"/>
        <w:jc w:val="both"/>
        <w:rPr>
          <w:color w:val="00B0F0"/>
          <w:sz w:val="22"/>
          <w:szCs w:val="22"/>
        </w:rPr>
      </w:pPr>
    </w:p>
    <w:p w:rsidR="00146B89" w:rsidRPr="00F3500C" w:rsidRDefault="00146B89" w:rsidP="00CF2BA8">
      <w:pPr>
        <w:pStyle w:val="Szvegtrzs3"/>
        <w:shd w:val="clear" w:color="auto" w:fill="auto"/>
        <w:spacing w:line="276" w:lineRule="auto"/>
        <w:ind w:firstLine="0"/>
        <w:jc w:val="both"/>
        <w:rPr>
          <w:color w:val="00B0F0"/>
          <w:sz w:val="22"/>
          <w:szCs w:val="22"/>
        </w:rPr>
      </w:pPr>
    </w:p>
    <w:p w:rsidR="002526E6" w:rsidRPr="00EE1CFD" w:rsidRDefault="002526E6" w:rsidP="00CF2BA8">
      <w:pPr>
        <w:spacing w:after="0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2526E6" w:rsidRPr="00EE1CFD" w:rsidRDefault="002526E6" w:rsidP="00CF2BA8">
      <w:pPr>
        <w:spacing w:after="0"/>
        <w:jc w:val="both"/>
        <w:rPr>
          <w:rFonts w:ascii="Arial" w:hAnsi="Arial" w:cs="Arial"/>
        </w:rPr>
      </w:pPr>
    </w:p>
    <w:p w:rsidR="002526E6" w:rsidRPr="00EE1CFD" w:rsidRDefault="002526E6" w:rsidP="00CF2BA8">
      <w:pPr>
        <w:spacing w:after="0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 az előterjesztést megvitatni, és a határozati javaslatot elfogadni szíveskedjenek!</w:t>
      </w:r>
      <w:r w:rsidR="00146B89">
        <w:rPr>
          <w:rFonts w:ascii="Arial" w:hAnsi="Arial" w:cs="Arial"/>
        </w:rPr>
        <w:t xml:space="preserve"> </w:t>
      </w:r>
    </w:p>
    <w:p w:rsidR="002526E6" w:rsidRDefault="002526E6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CF2BA8" w:rsidRDefault="00CF2BA8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CF2BA8" w:rsidRDefault="00CF2BA8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CF2BA8" w:rsidRDefault="00CF2BA8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CF2BA8" w:rsidRDefault="00CF2BA8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CF2BA8" w:rsidRDefault="00CF2BA8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CF2BA8" w:rsidRDefault="00CF2BA8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CF2BA8" w:rsidRDefault="00CF2BA8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46B89" w:rsidRDefault="00146B89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CF2BA8" w:rsidRDefault="00CF2BA8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CF2BA8" w:rsidRDefault="00CF2BA8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CF2BA8" w:rsidRDefault="00CF2BA8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CF2BA8" w:rsidRDefault="00CF2BA8" w:rsidP="00CF2BA8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8E2138" w:rsidRPr="00956A7D" w:rsidRDefault="008E2138" w:rsidP="00CF2BA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956A7D" w:rsidRDefault="008E2138" w:rsidP="00CF2BA8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F2BA8">
      <w:pPr>
        <w:pStyle w:val="Listaszerbekezds"/>
        <w:spacing w:after="0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CF2BA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69D2" w:rsidRPr="00944A6C" w:rsidRDefault="00AC69D2" w:rsidP="00CF2BA8">
      <w:pPr>
        <w:pStyle w:val="Listaszerbekezds"/>
        <w:widowControl w:val="0"/>
        <w:numPr>
          <w:ilvl w:val="0"/>
          <w:numId w:val="14"/>
        </w:numPr>
        <w:spacing w:after="0"/>
        <w:ind w:left="0" w:right="141" w:firstLine="0"/>
        <w:jc w:val="both"/>
        <w:rPr>
          <w:rFonts w:ascii="Arial" w:eastAsia="Arial" w:hAnsi="Arial" w:cs="Arial"/>
          <w:lang w:eastAsia="hu-HU" w:bidi="hu-HU"/>
        </w:rPr>
      </w:pPr>
      <w:r w:rsidRPr="00944A6C">
        <w:rPr>
          <w:rFonts w:ascii="Arial" w:eastAsia="Arial" w:hAnsi="Arial" w:cs="Arial"/>
          <w:lang w:eastAsia="hu-HU" w:bidi="hu-HU"/>
        </w:rPr>
        <w:t xml:space="preserve">Hévíz Város Önkormányzat </w:t>
      </w:r>
      <w:r w:rsidR="00CF2BA8" w:rsidRPr="00944A6C">
        <w:rPr>
          <w:rFonts w:ascii="Arial" w:eastAsia="Arial" w:hAnsi="Arial" w:cs="Arial"/>
          <w:lang w:eastAsia="hu-HU" w:bidi="hu-HU"/>
        </w:rPr>
        <w:t xml:space="preserve">Képviselő-testülete a Hévíz (belterület) 1504/2. </w:t>
      </w:r>
      <w:proofErr w:type="spellStart"/>
      <w:r w:rsidR="00CF2BA8" w:rsidRPr="00944A6C">
        <w:rPr>
          <w:rFonts w:ascii="Arial" w:eastAsia="Arial" w:hAnsi="Arial" w:cs="Arial"/>
          <w:lang w:eastAsia="hu-HU" w:bidi="hu-HU"/>
        </w:rPr>
        <w:t>hrsz-ú</w:t>
      </w:r>
      <w:proofErr w:type="spellEnd"/>
      <w:r w:rsidR="00CF2BA8" w:rsidRPr="00944A6C">
        <w:rPr>
          <w:rFonts w:ascii="Arial" w:eastAsia="Arial" w:hAnsi="Arial" w:cs="Arial"/>
          <w:lang w:eastAsia="hu-HU" w:bidi="hu-HU"/>
        </w:rPr>
        <w:t xml:space="preserve">, valamint az Alsópáhok 040/5. és 039/2. </w:t>
      </w:r>
      <w:proofErr w:type="spellStart"/>
      <w:r w:rsidR="00CF2BA8" w:rsidRPr="00944A6C">
        <w:rPr>
          <w:rFonts w:ascii="Arial" w:eastAsia="Arial" w:hAnsi="Arial" w:cs="Arial"/>
          <w:lang w:eastAsia="hu-HU" w:bidi="hu-HU"/>
        </w:rPr>
        <w:t>hrsz-ú</w:t>
      </w:r>
      <w:proofErr w:type="spellEnd"/>
      <w:r w:rsidR="00CF2BA8" w:rsidRPr="00944A6C">
        <w:rPr>
          <w:rFonts w:ascii="Arial" w:eastAsia="Arial" w:hAnsi="Arial" w:cs="Arial"/>
          <w:lang w:eastAsia="hu-HU" w:bidi="hu-HU"/>
        </w:rPr>
        <w:t xml:space="preserve"> ingatlanokat érintően a Hévíz Város és Alsópáhok Község közötti </w:t>
      </w:r>
      <w:r w:rsidR="00F45F9D" w:rsidRPr="00944A6C">
        <w:rPr>
          <w:rFonts w:ascii="Arial" w:eastAsia="Arial" w:hAnsi="Arial" w:cs="Arial"/>
          <w:lang w:eastAsia="hu-HU" w:bidi="hu-HU"/>
        </w:rPr>
        <w:t>területrész átadást</w:t>
      </w:r>
      <w:r w:rsidR="00CF2BA8" w:rsidRPr="00944A6C">
        <w:rPr>
          <w:rFonts w:ascii="Arial" w:eastAsia="Arial" w:hAnsi="Arial" w:cs="Arial"/>
          <w:lang w:eastAsia="hu-HU" w:bidi="hu-HU"/>
        </w:rPr>
        <w:t xml:space="preserve"> elviekben támogatja.</w:t>
      </w:r>
    </w:p>
    <w:p w:rsidR="00CC6A9B" w:rsidRPr="00944A6C" w:rsidRDefault="00CC6A9B" w:rsidP="00CC6A9B">
      <w:pPr>
        <w:pStyle w:val="Listaszerbekezds"/>
        <w:widowControl w:val="0"/>
        <w:spacing w:after="0"/>
        <w:ind w:left="0" w:right="141"/>
        <w:jc w:val="both"/>
        <w:rPr>
          <w:rFonts w:ascii="Arial" w:eastAsia="Arial" w:hAnsi="Arial" w:cs="Arial"/>
          <w:lang w:eastAsia="hu-HU" w:bidi="hu-HU"/>
        </w:rPr>
      </w:pPr>
    </w:p>
    <w:p w:rsidR="00CF2BA8" w:rsidRPr="00944A6C" w:rsidRDefault="00F45F9D" w:rsidP="00CF2BA8">
      <w:pPr>
        <w:pStyle w:val="Listaszerbekezds"/>
        <w:widowControl w:val="0"/>
        <w:numPr>
          <w:ilvl w:val="0"/>
          <w:numId w:val="14"/>
        </w:numPr>
        <w:spacing w:after="0"/>
        <w:ind w:left="0" w:right="141" w:firstLine="0"/>
        <w:jc w:val="both"/>
        <w:rPr>
          <w:rFonts w:ascii="Arial" w:eastAsia="Arial" w:hAnsi="Arial" w:cs="Arial"/>
          <w:lang w:eastAsia="hu-HU" w:bidi="hu-HU"/>
        </w:rPr>
      </w:pPr>
      <w:r w:rsidRPr="00944A6C">
        <w:rPr>
          <w:rFonts w:ascii="Arial" w:eastAsia="Arial" w:hAnsi="Arial" w:cs="Arial"/>
          <w:lang w:eastAsia="hu-HU" w:bidi="hu-HU"/>
        </w:rPr>
        <w:t>A Képviselő-testület kinyilvánítja</w:t>
      </w:r>
      <w:r w:rsidR="00CF2BA8" w:rsidRPr="00944A6C">
        <w:rPr>
          <w:rFonts w:ascii="Arial" w:eastAsia="Arial" w:hAnsi="Arial" w:cs="Arial"/>
          <w:lang w:eastAsia="hu-HU" w:bidi="hu-HU"/>
        </w:rPr>
        <w:t xml:space="preserve">, hogy nem kívánja az 1991. október 29. napján kelt </w:t>
      </w:r>
      <w:r w:rsidRPr="00944A6C">
        <w:rPr>
          <w:rFonts w:ascii="Arial" w:eastAsia="Arial" w:hAnsi="Arial" w:cs="Arial"/>
          <w:lang w:eastAsia="hu-HU" w:bidi="hu-HU"/>
        </w:rPr>
        <w:t xml:space="preserve">és álláspontja szerint megszűnt </w:t>
      </w:r>
      <w:r w:rsidR="00F67059" w:rsidRPr="00944A6C">
        <w:rPr>
          <w:rFonts w:ascii="Arial" w:eastAsia="Arial" w:hAnsi="Arial" w:cs="Arial"/>
          <w:lang w:eastAsia="hu-HU" w:bidi="hu-HU"/>
        </w:rPr>
        <w:t>szerződés 3.</w:t>
      </w:r>
      <w:r w:rsidR="00CF2BA8" w:rsidRPr="00944A6C">
        <w:rPr>
          <w:rFonts w:ascii="Arial" w:eastAsia="Arial" w:hAnsi="Arial" w:cs="Arial"/>
          <w:lang w:eastAsia="hu-HU" w:bidi="hu-HU"/>
        </w:rPr>
        <w:t xml:space="preserve"> pontját alkalmazni, vagy a nevezett szerződéssel hasonló tartalmú új szerződést kötni.</w:t>
      </w:r>
    </w:p>
    <w:p w:rsidR="00F45F9D" w:rsidRPr="00944A6C" w:rsidRDefault="00F45F9D" w:rsidP="00F45F9D">
      <w:pPr>
        <w:pStyle w:val="Listaszerbekezds"/>
        <w:widowControl w:val="0"/>
        <w:spacing w:after="0"/>
        <w:ind w:left="0" w:right="141"/>
        <w:jc w:val="both"/>
        <w:rPr>
          <w:rFonts w:ascii="Arial" w:eastAsia="Arial" w:hAnsi="Arial" w:cs="Arial"/>
          <w:lang w:eastAsia="hu-HU" w:bidi="hu-HU"/>
        </w:rPr>
      </w:pPr>
    </w:p>
    <w:p w:rsidR="00F45F9D" w:rsidRPr="00944A6C" w:rsidRDefault="00F45F9D" w:rsidP="00CF2BA8">
      <w:pPr>
        <w:pStyle w:val="Listaszerbekezds"/>
        <w:widowControl w:val="0"/>
        <w:numPr>
          <w:ilvl w:val="0"/>
          <w:numId w:val="14"/>
        </w:numPr>
        <w:spacing w:after="0"/>
        <w:ind w:left="0" w:right="141" w:firstLine="0"/>
        <w:jc w:val="both"/>
        <w:rPr>
          <w:rFonts w:ascii="Arial" w:eastAsia="Arial" w:hAnsi="Arial" w:cs="Arial"/>
          <w:lang w:eastAsia="hu-HU" w:bidi="hu-HU"/>
        </w:rPr>
      </w:pPr>
      <w:r w:rsidRPr="00944A6C">
        <w:rPr>
          <w:rFonts w:ascii="Arial" w:eastAsia="Arial" w:hAnsi="Arial" w:cs="Arial"/>
          <w:lang w:eastAsia="hu-HU" w:bidi="hu-HU"/>
        </w:rPr>
        <w:t>A Képviselő-testület felhatalmazza a polgármestert a szükséges előkészítő tárgyalások lefolytatására, az érintett felek együttműködését</w:t>
      </w:r>
      <w:r w:rsidR="00F67059" w:rsidRPr="00944A6C">
        <w:rPr>
          <w:rFonts w:ascii="Arial" w:eastAsia="Arial" w:hAnsi="Arial" w:cs="Arial"/>
          <w:lang w:eastAsia="hu-HU" w:bidi="hu-HU"/>
        </w:rPr>
        <w:t>, költségviselését, feladatait</w:t>
      </w:r>
      <w:r w:rsidRPr="00944A6C">
        <w:rPr>
          <w:rFonts w:ascii="Arial" w:eastAsia="Arial" w:hAnsi="Arial" w:cs="Arial"/>
          <w:lang w:eastAsia="hu-HU" w:bidi="hu-HU"/>
        </w:rPr>
        <w:t xml:space="preserve"> </w:t>
      </w:r>
      <w:r w:rsidR="00F67059" w:rsidRPr="00944A6C">
        <w:rPr>
          <w:rFonts w:ascii="Arial" w:eastAsia="Arial" w:hAnsi="Arial" w:cs="Arial"/>
          <w:lang w:eastAsia="hu-HU" w:bidi="hu-HU"/>
        </w:rPr>
        <w:t>szabályozó megállapodás előkészítése érdekében, ide értve a t</w:t>
      </w:r>
      <w:r w:rsidR="00F67059" w:rsidRPr="00944A6C">
        <w:rPr>
          <w:rFonts w:ascii="Arial" w:hAnsi="Arial" w:cs="Arial"/>
          <w:lang w:eastAsia="hu-HU"/>
        </w:rPr>
        <w:t>erületrész átadását előkészítő bizottság megalakulásnak előkészítését is.</w:t>
      </w:r>
    </w:p>
    <w:p w:rsidR="00AC69D2" w:rsidRPr="00AC69D2" w:rsidRDefault="00AC69D2" w:rsidP="00CF2BA8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u w:val="single"/>
          <w:lang w:eastAsia="hu-HU" w:bidi="hu-HU"/>
        </w:rPr>
      </w:pPr>
    </w:p>
    <w:p w:rsidR="00AC69D2" w:rsidRPr="00AC69D2" w:rsidRDefault="00AC69D2" w:rsidP="00CF2BA8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AC69D2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Pr="00AC69D2">
        <w:rPr>
          <w:rFonts w:ascii="Arial" w:eastAsia="Arial" w:hAnsi="Arial" w:cs="Arial"/>
          <w:color w:val="000000"/>
          <w:lang w:eastAsia="hu-HU" w:bidi="hu-HU"/>
        </w:rPr>
        <w:tab/>
        <w:t>Papp Gábor polgármester</w:t>
      </w:r>
    </w:p>
    <w:p w:rsidR="00AC69D2" w:rsidRPr="00AC69D2" w:rsidRDefault="00AC69D2" w:rsidP="00CF2BA8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AC69D2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Pr="00AC69D2">
        <w:rPr>
          <w:rFonts w:ascii="Arial" w:eastAsia="Arial" w:hAnsi="Arial" w:cs="Arial"/>
          <w:color w:val="000000"/>
          <w:lang w:eastAsia="hu-HU" w:bidi="hu-HU"/>
        </w:rPr>
        <w:tab/>
      </w:r>
      <w:r w:rsidR="00CF2BA8">
        <w:rPr>
          <w:rFonts w:ascii="Arial" w:eastAsia="Arial" w:hAnsi="Arial" w:cs="Arial"/>
          <w:color w:val="000000"/>
          <w:lang w:eastAsia="hu-HU" w:bidi="hu-HU"/>
        </w:rPr>
        <w:t>2017. december 31</w:t>
      </w:r>
      <w:r w:rsidRPr="00AC69D2">
        <w:rPr>
          <w:rFonts w:ascii="Arial" w:eastAsia="Arial" w:hAnsi="Arial" w:cs="Arial"/>
          <w:color w:val="000000"/>
          <w:lang w:eastAsia="hu-HU" w:bidi="hu-HU"/>
        </w:rPr>
        <w:t>.</w:t>
      </w:r>
      <w:r w:rsidRPr="00AC69D2">
        <w:rPr>
          <w:rFonts w:ascii="Arial" w:eastAsia="Arial" w:hAnsi="Arial" w:cs="Arial"/>
          <w:color w:val="000000"/>
          <w:lang w:eastAsia="hu-HU" w:bidi="hu-HU"/>
        </w:rPr>
        <w:br w:type="page"/>
      </w:r>
    </w:p>
    <w:p w:rsidR="008E2138" w:rsidRPr="00956A7D" w:rsidRDefault="008E2138" w:rsidP="00CF2BA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8E2138" w:rsidRPr="00956A7D" w:rsidRDefault="008E2138" w:rsidP="00CF2BA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CF2BA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8E2138" w:rsidRDefault="008E2138" w:rsidP="00CF2BA8"/>
    <w:p w:rsidR="00354E47" w:rsidRDefault="00354E47" w:rsidP="00CF2BA8">
      <w:r>
        <w:br w:type="page"/>
      </w:r>
    </w:p>
    <w:p w:rsidR="00354E47" w:rsidRDefault="00354E47" w:rsidP="00CF2BA8">
      <w:pPr>
        <w:sectPr w:rsidR="00354E47" w:rsidSect="00801CE1">
          <w:footerReference w:type="even" r:id="rId9"/>
          <w:footerReference w:type="default" r:id="rId10"/>
          <w:pgSz w:w="11906" w:h="16838"/>
          <w:pgMar w:top="567" w:right="1417" w:bottom="426" w:left="1417" w:header="708" w:footer="708" w:gutter="0"/>
          <w:cols w:space="708"/>
          <w:docGrid w:linePitch="360"/>
        </w:sectPr>
      </w:pPr>
    </w:p>
    <w:p w:rsidR="000E57A4" w:rsidRDefault="00354E47" w:rsidP="00CF2BA8">
      <w:pPr>
        <w:pStyle w:val="Listaszerbekezds"/>
        <w:rPr>
          <w:rFonts w:ascii="Arial" w:hAnsi="Arial" w:cs="Arial"/>
          <w:b/>
          <w:sz w:val="24"/>
          <w:szCs w:val="24"/>
        </w:rPr>
      </w:pPr>
      <w:r w:rsidRPr="00354E47">
        <w:rPr>
          <w:noProof/>
          <w:lang w:eastAsia="hu-HU"/>
        </w:rPr>
        <w:lastRenderedPageBreak/>
        <w:drawing>
          <wp:inline distT="0" distB="0" distL="0" distR="0" wp14:anchorId="2D9EE19E" wp14:editId="43423088">
            <wp:extent cx="9117221" cy="5715000"/>
            <wp:effectExtent l="0" t="0" r="825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526" cy="5733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A4" w:rsidRDefault="000E57A4" w:rsidP="00CF2BA8">
      <w:pPr>
        <w:pStyle w:val="Listaszerbekezds"/>
        <w:numPr>
          <w:ilvl w:val="0"/>
          <w:numId w:val="20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számú melléklet</w:t>
      </w:r>
    </w:p>
    <w:p w:rsidR="000E57A4" w:rsidRDefault="000E57A4" w:rsidP="00CF2BA8">
      <w:pPr>
        <w:pStyle w:val="Listaszerbekezds"/>
        <w:ind w:left="1080"/>
        <w:rPr>
          <w:rFonts w:ascii="Arial" w:hAnsi="Arial" w:cs="Arial"/>
          <w:b/>
          <w:sz w:val="24"/>
          <w:szCs w:val="24"/>
        </w:rPr>
      </w:pPr>
    </w:p>
    <w:p w:rsidR="000E57A4" w:rsidRDefault="000E57A4" w:rsidP="00CF2BA8">
      <w:pPr>
        <w:pStyle w:val="Listaszerbekezds"/>
        <w:numPr>
          <w:ilvl w:val="0"/>
          <w:numId w:val="20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számú melléklet</w:t>
      </w:r>
    </w:p>
    <w:p w:rsidR="00354E47" w:rsidRPr="000E57A4" w:rsidRDefault="000E57A4" w:rsidP="00CF2BA8">
      <w:pPr>
        <w:pStyle w:val="Listaszerbekezds"/>
        <w:ind w:left="1080"/>
        <w:rPr>
          <w:rFonts w:ascii="Arial" w:hAnsi="Arial" w:cs="Arial"/>
          <w:b/>
          <w:sz w:val="24"/>
          <w:szCs w:val="24"/>
        </w:rPr>
      </w:pPr>
      <w:r w:rsidRPr="000E57A4">
        <w:rPr>
          <w:rFonts w:ascii="Arial" w:hAnsi="Arial" w:cs="Arial"/>
          <w:b/>
          <w:noProof/>
          <w:sz w:val="24"/>
          <w:szCs w:val="24"/>
          <w:lang w:eastAsia="hu-HU"/>
        </w:rPr>
        <w:drawing>
          <wp:inline distT="0" distB="0" distL="0" distR="0" wp14:anchorId="6D3DAA28" wp14:editId="71B5AD79">
            <wp:extent cx="10061575" cy="579247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1575" cy="579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4E47" w:rsidRPr="000E57A4">
        <w:rPr>
          <w:rFonts w:ascii="Arial" w:hAnsi="Arial" w:cs="Arial"/>
          <w:b/>
          <w:sz w:val="24"/>
          <w:szCs w:val="24"/>
        </w:rPr>
        <w:br w:type="page"/>
      </w:r>
    </w:p>
    <w:p w:rsidR="00354E47" w:rsidRDefault="00354E47" w:rsidP="00CF2BA8">
      <w:pPr>
        <w:jc w:val="center"/>
        <w:sectPr w:rsidR="00354E47" w:rsidSect="000E57A4">
          <w:pgSz w:w="16838" w:h="11906" w:orient="landscape"/>
          <w:pgMar w:top="709" w:right="567" w:bottom="1417" w:left="426" w:header="708" w:footer="708" w:gutter="0"/>
          <w:cols w:space="708"/>
          <w:docGrid w:linePitch="360"/>
        </w:sectPr>
      </w:pPr>
    </w:p>
    <w:p w:rsidR="00354E47" w:rsidRDefault="00354E47" w:rsidP="00CF2BA8">
      <w:pPr>
        <w:jc w:val="center"/>
      </w:pPr>
    </w:p>
    <w:p w:rsidR="008E2138" w:rsidRPr="00956A7D" w:rsidRDefault="008E2138" w:rsidP="00CF2BA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CF2BA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CF2BA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center" w:tblpY="269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2483"/>
        <w:gridCol w:w="1843"/>
        <w:gridCol w:w="2859"/>
      </w:tblGrid>
      <w:tr w:rsidR="00CC6A9B" w:rsidRPr="00956A7D" w:rsidTr="00CC6A9B">
        <w:tc>
          <w:tcPr>
            <w:tcW w:w="9351" w:type="dxa"/>
            <w:gridSpan w:val="4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CC6A9B" w:rsidRPr="00956A7D" w:rsidTr="00CC6A9B">
        <w:trPr>
          <w:trHeight w:val="422"/>
        </w:trPr>
        <w:tc>
          <w:tcPr>
            <w:tcW w:w="2166" w:type="dxa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859" w:type="dxa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CC6A9B" w:rsidRPr="00956A7D" w:rsidTr="00CC6A9B">
        <w:trPr>
          <w:trHeight w:val="697"/>
        </w:trPr>
        <w:tc>
          <w:tcPr>
            <w:tcW w:w="2166" w:type="dxa"/>
          </w:tcPr>
          <w:p w:rsidR="00CC6A9B" w:rsidRDefault="00CC6A9B" w:rsidP="00CC6A9B">
            <w:pPr>
              <w:spacing w:after="0"/>
              <w:rPr>
                <w:rFonts w:ascii="Arial" w:hAnsi="Arial" w:cs="Arial"/>
              </w:rPr>
            </w:pPr>
          </w:p>
          <w:p w:rsidR="00CC6A9B" w:rsidRDefault="00CC6A9B" w:rsidP="00CC6A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CC6A9B" w:rsidRPr="00801CE1" w:rsidRDefault="00CC6A9B" w:rsidP="00CC6A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CC6A9B" w:rsidRPr="00801CE1" w:rsidRDefault="00CC6A9B" w:rsidP="00CC6A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CC6A9B" w:rsidRPr="00801CE1" w:rsidRDefault="00CC6A9B" w:rsidP="00CC6A9B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859" w:type="dxa"/>
          </w:tcPr>
          <w:p w:rsidR="00CC6A9B" w:rsidRPr="00801CE1" w:rsidRDefault="00CC6A9B" w:rsidP="00CC6A9B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CC6A9B" w:rsidRPr="00956A7D" w:rsidTr="00CC6A9B">
        <w:trPr>
          <w:trHeight w:val="573"/>
        </w:trPr>
        <w:tc>
          <w:tcPr>
            <w:tcW w:w="2166" w:type="dxa"/>
          </w:tcPr>
          <w:p w:rsidR="00CC6A9B" w:rsidRDefault="00CC6A9B" w:rsidP="00CC6A9B">
            <w:pPr>
              <w:spacing w:after="0"/>
              <w:rPr>
                <w:rFonts w:ascii="Arial" w:hAnsi="Arial" w:cs="Arial"/>
              </w:rPr>
            </w:pPr>
          </w:p>
          <w:p w:rsidR="00CC6A9B" w:rsidRDefault="00CC6A9B" w:rsidP="00CC6A9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CC6A9B" w:rsidRPr="00801CE1" w:rsidRDefault="00CC6A9B" w:rsidP="00CC6A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CC6A9B" w:rsidRPr="00801CE1" w:rsidRDefault="00CC6A9B" w:rsidP="00CC6A9B">
            <w:pPr>
              <w:spacing w:after="0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CC6A9B" w:rsidRPr="00801CE1" w:rsidRDefault="00CC6A9B" w:rsidP="00CC6A9B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859" w:type="dxa"/>
          </w:tcPr>
          <w:p w:rsidR="00CC6A9B" w:rsidRPr="00801CE1" w:rsidRDefault="00CC6A9B" w:rsidP="00CC6A9B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CC6A9B" w:rsidRPr="00956A7D" w:rsidTr="00CC6A9B">
        <w:tc>
          <w:tcPr>
            <w:tcW w:w="2166" w:type="dxa"/>
          </w:tcPr>
          <w:p w:rsidR="00CC6A9B" w:rsidRDefault="00CC6A9B" w:rsidP="00CC6A9B">
            <w:pPr>
              <w:spacing w:after="0"/>
              <w:rPr>
                <w:rFonts w:ascii="Arial" w:hAnsi="Arial" w:cs="Arial"/>
              </w:rPr>
            </w:pPr>
          </w:p>
          <w:p w:rsidR="00CC6A9B" w:rsidRDefault="00CC6A9B" w:rsidP="00CC6A9B">
            <w:pPr>
              <w:spacing w:after="0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  <w:p w:rsidR="00CC6A9B" w:rsidRDefault="00CC6A9B" w:rsidP="00CC6A9B">
            <w:pPr>
              <w:spacing w:after="0"/>
              <w:rPr>
                <w:rFonts w:ascii="Arial" w:hAnsi="Arial" w:cs="Arial"/>
              </w:rPr>
            </w:pPr>
          </w:p>
          <w:p w:rsidR="00CC6A9B" w:rsidRPr="00801CE1" w:rsidRDefault="00CC6A9B" w:rsidP="00CC6A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CC6A9B" w:rsidRDefault="00CC6A9B" w:rsidP="00CC6A9B">
            <w:pPr>
              <w:spacing w:after="0"/>
              <w:rPr>
                <w:rFonts w:ascii="Arial" w:hAnsi="Arial" w:cs="Arial"/>
              </w:rPr>
            </w:pPr>
          </w:p>
          <w:p w:rsidR="00CC6A9B" w:rsidRPr="00801CE1" w:rsidRDefault="00CC6A9B" w:rsidP="00CC6A9B">
            <w:pPr>
              <w:spacing w:after="0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CC6A9B" w:rsidRPr="00801CE1" w:rsidRDefault="00CC6A9B" w:rsidP="00CC6A9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CC6A9B" w:rsidRPr="00801CE1" w:rsidRDefault="00CC6A9B" w:rsidP="00CC6A9B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859" w:type="dxa"/>
          </w:tcPr>
          <w:p w:rsidR="00CC6A9B" w:rsidRPr="00801CE1" w:rsidRDefault="00CC6A9B" w:rsidP="00CC6A9B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CF2BA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X="279" w:tblpY="12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2483"/>
        <w:gridCol w:w="2483"/>
        <w:gridCol w:w="2181"/>
      </w:tblGrid>
      <w:tr w:rsidR="00CC6A9B" w:rsidRPr="00956A7D" w:rsidTr="00CC6A9B">
        <w:trPr>
          <w:trHeight w:val="277"/>
        </w:trPr>
        <w:tc>
          <w:tcPr>
            <w:tcW w:w="9351" w:type="dxa"/>
            <w:gridSpan w:val="4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CC6A9B" w:rsidRPr="00956A7D" w:rsidTr="00CC6A9B">
        <w:trPr>
          <w:trHeight w:val="277"/>
        </w:trPr>
        <w:tc>
          <w:tcPr>
            <w:tcW w:w="2204" w:type="dxa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181" w:type="dxa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CC6A9B" w:rsidRPr="00956A7D" w:rsidTr="00CC6A9B">
        <w:trPr>
          <w:trHeight w:val="707"/>
        </w:trPr>
        <w:tc>
          <w:tcPr>
            <w:tcW w:w="2204" w:type="dxa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6A9B" w:rsidRPr="00956A7D" w:rsidRDefault="00CC6A9B" w:rsidP="00CC6A9B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1" w:type="dxa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C6A9B" w:rsidRPr="00956A7D" w:rsidTr="00CC6A9B">
        <w:trPr>
          <w:trHeight w:val="829"/>
        </w:trPr>
        <w:tc>
          <w:tcPr>
            <w:tcW w:w="2204" w:type="dxa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81" w:type="dxa"/>
          </w:tcPr>
          <w:p w:rsidR="00CC6A9B" w:rsidRPr="00956A7D" w:rsidRDefault="00CC6A9B" w:rsidP="00CC6A9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CF2BA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CF2BA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CF2BA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CF2BA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CF2BA8"/>
    <w:p w:rsidR="008E2138" w:rsidRDefault="008E2138" w:rsidP="00CF2BA8"/>
    <w:sectPr w:rsidR="008E2138" w:rsidSect="00354E47">
      <w:pgSz w:w="11906" w:h="16838"/>
      <w:pgMar w:top="567" w:right="1417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BE6" w:rsidRDefault="00E02BE6">
      <w:pPr>
        <w:spacing w:after="0" w:line="240" w:lineRule="auto"/>
      </w:pPr>
      <w:r>
        <w:separator/>
      </w:r>
    </w:p>
  </w:endnote>
  <w:endnote w:type="continuationSeparator" w:id="0">
    <w:p w:rsidR="00E02BE6" w:rsidRDefault="00E02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4508D" w:rsidRPr="0034508D">
                            <w:rPr>
                              <w:rStyle w:val="Fejlcvagylbjegyzet"/>
                              <w:noProof/>
                            </w:rPr>
                            <w:t>9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4508D" w:rsidRPr="0034508D">
                      <w:rPr>
                        <w:rStyle w:val="Fejlcvagylbjegyzet"/>
                        <w:noProof/>
                      </w:rPr>
                      <w:t>9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BE6" w:rsidRDefault="00E02BE6">
      <w:pPr>
        <w:spacing w:after="0" w:line="240" w:lineRule="auto"/>
      </w:pPr>
      <w:r>
        <w:separator/>
      </w:r>
    </w:p>
  </w:footnote>
  <w:footnote w:type="continuationSeparator" w:id="0">
    <w:p w:rsidR="00E02BE6" w:rsidRDefault="00E02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4" w15:restartNumberingAfterBreak="0">
    <w:nsid w:val="3FB66A7E"/>
    <w:multiLevelType w:val="hybridMultilevel"/>
    <w:tmpl w:val="6BA6191C"/>
    <w:lvl w:ilvl="0" w:tplc="AAE48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80827DD"/>
    <w:multiLevelType w:val="hybridMultilevel"/>
    <w:tmpl w:val="8256AAA8"/>
    <w:lvl w:ilvl="0" w:tplc="5518E68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 w15:restartNumberingAfterBreak="0">
    <w:nsid w:val="48BE6094"/>
    <w:multiLevelType w:val="hybridMultilevel"/>
    <w:tmpl w:val="BB900A66"/>
    <w:lvl w:ilvl="0" w:tplc="33606FAC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8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1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2" w15:restartNumberingAfterBreak="0">
    <w:nsid w:val="61CC106C"/>
    <w:multiLevelType w:val="hybridMultilevel"/>
    <w:tmpl w:val="444A5A88"/>
    <w:lvl w:ilvl="0" w:tplc="73AAD8D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4A1D1C"/>
    <w:multiLevelType w:val="hybridMultilevel"/>
    <w:tmpl w:val="7F14B8B0"/>
    <w:lvl w:ilvl="0" w:tplc="54501C7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22"/>
  </w:num>
  <w:num w:numId="4">
    <w:abstractNumId w:val="21"/>
  </w:num>
  <w:num w:numId="5">
    <w:abstractNumId w:val="16"/>
  </w:num>
  <w:num w:numId="6">
    <w:abstractNumId w:val="0"/>
  </w:num>
  <w:num w:numId="7">
    <w:abstractNumId w:val="19"/>
  </w:num>
  <w:num w:numId="8">
    <w:abstractNumId w:val="15"/>
  </w:num>
  <w:num w:numId="9">
    <w:abstractNumId w:val="14"/>
  </w:num>
  <w:num w:numId="10">
    <w:abstractNumId w:val="1"/>
  </w:num>
  <w:num w:numId="11">
    <w:abstractNumId w:val="17"/>
  </w:num>
  <w:num w:numId="12">
    <w:abstractNumId w:val="18"/>
  </w:num>
  <w:num w:numId="13">
    <w:abstractNumId w:val="2"/>
  </w:num>
  <w:num w:numId="14">
    <w:abstractNumId w:val="13"/>
  </w:num>
  <w:num w:numId="15">
    <w:abstractNumId w:val="5"/>
  </w:num>
  <w:num w:numId="16">
    <w:abstractNumId w:val="10"/>
  </w:num>
  <w:num w:numId="17">
    <w:abstractNumId w:val="3"/>
  </w:num>
  <w:num w:numId="18">
    <w:abstractNumId w:val="11"/>
  </w:num>
  <w:num w:numId="19">
    <w:abstractNumId w:val="20"/>
  </w:num>
  <w:num w:numId="20">
    <w:abstractNumId w:val="4"/>
  </w:num>
  <w:num w:numId="21">
    <w:abstractNumId w:val="12"/>
  </w:num>
  <w:num w:numId="22">
    <w:abstractNumId w:val="6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6A69"/>
    <w:rsid w:val="00016071"/>
    <w:rsid w:val="000C22D9"/>
    <w:rsid w:val="000E57A4"/>
    <w:rsid w:val="001024B6"/>
    <w:rsid w:val="00146B89"/>
    <w:rsid w:val="001828ED"/>
    <w:rsid w:val="001C06C6"/>
    <w:rsid w:val="00201700"/>
    <w:rsid w:val="0025067B"/>
    <w:rsid w:val="002526E6"/>
    <w:rsid w:val="0034508D"/>
    <w:rsid w:val="00354E47"/>
    <w:rsid w:val="003C5728"/>
    <w:rsid w:val="003E78F2"/>
    <w:rsid w:val="00440618"/>
    <w:rsid w:val="00545A7C"/>
    <w:rsid w:val="00550400"/>
    <w:rsid w:val="0056466D"/>
    <w:rsid w:val="0059168C"/>
    <w:rsid w:val="005D4716"/>
    <w:rsid w:val="006761B6"/>
    <w:rsid w:val="006C548A"/>
    <w:rsid w:val="00707759"/>
    <w:rsid w:val="00712647"/>
    <w:rsid w:val="00725F68"/>
    <w:rsid w:val="0077433B"/>
    <w:rsid w:val="007B21BF"/>
    <w:rsid w:val="00801CE1"/>
    <w:rsid w:val="008972A3"/>
    <w:rsid w:val="008E2138"/>
    <w:rsid w:val="00944A6C"/>
    <w:rsid w:val="009D2A2E"/>
    <w:rsid w:val="00A13D3F"/>
    <w:rsid w:val="00AC69D2"/>
    <w:rsid w:val="00B27C4E"/>
    <w:rsid w:val="00B33A51"/>
    <w:rsid w:val="00B6673F"/>
    <w:rsid w:val="00B7637F"/>
    <w:rsid w:val="00B76DE6"/>
    <w:rsid w:val="00C610AA"/>
    <w:rsid w:val="00CC6A9B"/>
    <w:rsid w:val="00CF2BA8"/>
    <w:rsid w:val="00DD698C"/>
    <w:rsid w:val="00E02BE6"/>
    <w:rsid w:val="00E35C1F"/>
    <w:rsid w:val="00E65F6E"/>
    <w:rsid w:val="00E71133"/>
    <w:rsid w:val="00EB5094"/>
    <w:rsid w:val="00F13525"/>
    <w:rsid w:val="00F3500C"/>
    <w:rsid w:val="00F45F9D"/>
    <w:rsid w:val="00F67059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35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54E47"/>
    <w:rPr>
      <w:rFonts w:ascii="Calibri" w:eastAsia="Times New Roman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44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44A6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1161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9</cp:revision>
  <cp:lastPrinted>2017-04-19T09:06:00Z</cp:lastPrinted>
  <dcterms:created xsi:type="dcterms:W3CDTF">2017-04-19T09:05:00Z</dcterms:created>
  <dcterms:modified xsi:type="dcterms:W3CDTF">2017-04-21T07:30:00Z</dcterms:modified>
</cp:coreProperties>
</file>